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Приложение 2</w:t>
      </w:r>
    </w:p>
    <w:p>
      <w:pPr>
        <w:pStyle w:val="Normal"/>
        <w:spacing w:lineRule="auto" w:line="240" w:before="0" w:after="0"/>
        <w:jc w:val="right"/>
        <w:rPr>
          <w:rFonts w:ascii="Times New Roman" w:hAnsi="Times New Roman" w:cs="Times New Roman"/>
          <w:bCs/>
          <w:sz w:val="28"/>
          <w:szCs w:val="28"/>
        </w:rPr>
      </w:pPr>
      <w:r>
        <w:rPr>
          <w:rFonts w:cs="Times New Roman" w:ascii="Times New Roman" w:hAnsi="Times New Roman"/>
          <w:bCs/>
          <w:sz w:val="28"/>
          <w:szCs w:val="28"/>
        </w:rPr>
        <w:t>к государственной программе</w:t>
      </w:r>
    </w:p>
    <w:p>
      <w:pPr>
        <w:pStyle w:val="Normal"/>
        <w:spacing w:lineRule="auto" w:line="240" w:before="0" w:after="0"/>
        <w:jc w:val="right"/>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«Развитие культуры и туризма</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в Брянской области»</w:t>
      </w:r>
    </w:p>
    <w:p>
      <w:pPr>
        <w:pStyle w:val="Normal"/>
        <w:spacing w:lineRule="auto" w:line="240" w:before="0" w:after="0"/>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Порядок</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предоставления субсидий бюджетам муниципальных образований</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 xml:space="preserve">на софинансирование объектов капитальных вложений </w:t>
      </w:r>
      <w:r>
        <w:rPr>
          <w:rFonts w:cs="Times New Roman" w:ascii="Times New Roman" w:hAnsi="Times New Roman"/>
          <w:sz w:val="28"/>
          <w:szCs w:val="28"/>
        </w:rPr>
        <w:t xml:space="preserve">муниципальной собственности </w:t>
      </w:r>
      <w:r>
        <w:rPr>
          <w:rFonts w:cs="Times New Roman" w:ascii="Times New Roman" w:hAnsi="Times New Roman"/>
          <w:bCs/>
          <w:sz w:val="28"/>
          <w:szCs w:val="28"/>
        </w:rPr>
        <w:t>в рамках государственной программы «Развитие</w:t>
      </w:r>
    </w:p>
    <w:p>
      <w:pPr>
        <w:pStyle w:val="Normal"/>
        <w:spacing w:lineRule="auto" w:line="240" w:before="0" w:after="0"/>
        <w:jc w:val="center"/>
        <w:rPr>
          <w:rFonts w:ascii="Times New Roman" w:hAnsi="Times New Roman" w:cs="Times New Roman"/>
          <w:bCs/>
          <w:sz w:val="28"/>
          <w:szCs w:val="28"/>
        </w:rPr>
      </w:pPr>
      <w:r>
        <w:rPr>
          <w:rFonts w:cs="Times New Roman" w:ascii="Times New Roman" w:hAnsi="Times New Roman"/>
          <w:bCs/>
          <w:sz w:val="28"/>
          <w:szCs w:val="28"/>
        </w:rPr>
        <w:t>культуры и туризма в Брянской области»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(далее - Правила), устанавливает цели и условия предоставления субсидий бюджетам муниципальных образований (далее - субсидии) 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pPr>
        <w:pStyle w:val="Normal"/>
        <w:spacing w:lineRule="auto" w:line="240" w:before="0" w:after="0"/>
        <w:ind w:firstLine="540"/>
        <w:jc w:val="both"/>
        <w:rPr>
          <w:rFonts w:ascii="Times New Roman" w:hAnsi="Times New Roman" w:cs="Times New Roman"/>
          <w:sz w:val="28"/>
          <w:szCs w:val="28"/>
        </w:rPr>
      </w:pPr>
      <w:bookmarkStart w:id="0" w:name="Par7"/>
      <w:bookmarkEnd w:id="0"/>
      <w:r>
        <w:rPr>
          <w:rFonts w:cs="Times New Roman" w:ascii="Times New Roman" w:hAnsi="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«Развитие культуры и туризма в Брянской области» на следующие цели:</w:t>
      </w:r>
    </w:p>
    <w:p>
      <w:pPr>
        <w:pStyle w:val="Normal"/>
        <w:spacing w:lineRule="auto" w:line="240" w:before="0" w:after="0"/>
        <w:ind w:firstLine="540"/>
        <w:jc w:val="both"/>
        <w:rPr>
          <w:rFonts w:ascii="Times New Roman" w:hAnsi="Times New Roman" w:cs="Times New Roman"/>
          <w:sz w:val="28"/>
          <w:szCs w:val="28"/>
        </w:rPr>
      </w:pPr>
      <w:bookmarkStart w:id="1" w:name="Par8"/>
      <w:bookmarkEnd w:id="1"/>
      <w:r>
        <w:rPr>
          <w:rFonts w:cs="Times New Roman" w:ascii="Times New Roman" w:hAnsi="Times New Roman"/>
          <w:sz w:val="28"/>
          <w:szCs w:val="28"/>
        </w:rPr>
        <w:t>2.1. Строительство объектов культуры.</w:t>
      </w:r>
    </w:p>
    <w:p>
      <w:pPr>
        <w:pStyle w:val="Normal"/>
        <w:spacing w:lineRule="auto" w:line="240" w:before="0" w:after="0"/>
        <w:ind w:firstLine="540"/>
        <w:jc w:val="both"/>
        <w:rPr>
          <w:rFonts w:ascii="Times New Roman" w:hAnsi="Times New Roman" w:cs="Times New Roman"/>
          <w:sz w:val="28"/>
          <w:szCs w:val="28"/>
        </w:rPr>
      </w:pPr>
      <w:bookmarkStart w:id="2" w:name="Par9"/>
      <w:bookmarkEnd w:id="2"/>
      <w:r>
        <w:rPr>
          <w:rFonts w:cs="Times New Roman" w:ascii="Times New Roman" w:hAnsi="Times New Roman"/>
          <w:sz w:val="28"/>
          <w:szCs w:val="28"/>
        </w:rPr>
        <w:t>2.2. Реконструкция объектов культуры.</w:t>
      </w:r>
    </w:p>
    <w:p>
      <w:pPr>
        <w:pStyle w:val="Normal"/>
        <w:spacing w:lineRule="auto" w:line="240" w:before="0" w:after="0"/>
        <w:ind w:firstLine="540"/>
        <w:jc w:val="both"/>
        <w:rPr>
          <w:rFonts w:ascii="Times New Roman" w:hAnsi="Times New Roman" w:cs="Times New Roman"/>
          <w:sz w:val="28"/>
          <w:szCs w:val="28"/>
        </w:rPr>
      </w:pPr>
      <w:bookmarkStart w:id="3" w:name="Par10"/>
      <w:bookmarkEnd w:id="3"/>
      <w:r>
        <w:rPr>
          <w:rFonts w:cs="Times New Roman" w:ascii="Times New Roman" w:hAnsi="Times New Roman"/>
          <w:sz w:val="28"/>
          <w:szCs w:val="28"/>
        </w:rPr>
        <w:t>2.3. Строительство (реконструкцию) объектов туристского показа.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3. Условиями предоставления субсидии бюджетам муниципальных образований на цели, предусмотренные пунктом 2 настоящего Порядка, являются: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а) наличие правового акта органа местного самоуправления муниципального образования, утверждающего перечень мероприятий, в целях которых предоставляется субсидия;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б) наличие ассигнований в бюджетах муниципальных образований в объеме не менее 5% объема расходного обязательства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заключение соглашения о предоставлении субсидии бюджету муниципального образования в соответствии с пунктом 10 Правил.</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5. Главными распорядителями средств областного бюджета по вышеуказанным расходам являются: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цели, определенные в подпунктах 2.1, 2.2 пункта 2 настоящего Порядка, - департамент строительства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цели, определенные в подпункте 2.3 пункта 2 настоящего Порядка, - департамент культуры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6. Отбор муниципальных образований Брянской области осуществляют:</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по целям, определенным в подпунктах 2.1, 2.2 пункта 2 настоящего Порядка, - департамент строительства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по целям, определенным в подпункте 2.3 пункта 2 настоящего Порядка, - департамент культуры Брянской области.</w:t>
      </w:r>
    </w:p>
    <w:p>
      <w:pPr>
        <w:pStyle w:val="Normal"/>
        <w:spacing w:lineRule="auto" w:line="240" w:before="0" w:after="0"/>
        <w:ind w:firstLine="540"/>
        <w:jc w:val="both"/>
        <w:rPr>
          <w:rFonts w:ascii="Times New Roman" w:hAnsi="Times New Roman" w:cs="Times New Roman"/>
          <w:sz w:val="28"/>
          <w:szCs w:val="28"/>
        </w:rPr>
      </w:pPr>
      <w:bookmarkStart w:id="4" w:name="Par22"/>
      <w:bookmarkEnd w:id="4"/>
      <w:r>
        <w:rPr>
          <w:rFonts w:cs="Times New Roman" w:ascii="Times New Roman" w:hAnsi="Times New Roman"/>
          <w:sz w:val="28"/>
          <w:szCs w:val="28"/>
        </w:rPr>
        <w:t>7. Критериями отбора муниципальных образований для предоставления субсидий являются: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отсутствие в муниципальном образовании учреждений культуры, объектов туристского показа; либо наличие зданий, имеющих высокий процент износа; либо не соответствующих действующим нормам и требованиям; либо отсутствие у учреждений культуры, объектов туристского показа в собственности зданий;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наличие объектов незавершенного строительства.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8. Главные распорядители бюджетных средств с учетом критериев, перечисленных в </w:t>
      </w:r>
      <w:hyperlink w:anchor="Par22">
        <w:r>
          <w:rPr>
            <w:rFonts w:cs="Times New Roman" w:ascii="Times New Roman" w:hAnsi="Times New Roman"/>
            <w:sz w:val="28"/>
            <w:szCs w:val="28"/>
          </w:rPr>
          <w:t>пункте 7</w:t>
        </w:r>
      </w:hyperlink>
      <w:r>
        <w:rPr>
          <w:rFonts w:cs="Times New Roman" w:ascii="Times New Roman" w:hAnsi="Times New Roman"/>
          <w:sz w:val="28"/>
          <w:szCs w:val="28"/>
        </w:rPr>
        <w:t xml:space="preserve"> настоящего Порядка, определяют перечень муниципальных образований для предоставления субсидий на цели, указанные в </w:t>
      </w:r>
      <w:hyperlink w:anchor="Par7">
        <w:r>
          <w:rPr>
            <w:rFonts w:cs="Times New Roman" w:ascii="Times New Roman" w:hAnsi="Times New Roman"/>
            <w:sz w:val="28"/>
            <w:szCs w:val="28"/>
          </w:rPr>
          <w:t>пункте 2</w:t>
        </w:r>
      </w:hyperlink>
      <w:r>
        <w:rPr>
          <w:rFonts w:cs="Times New Roman" w:ascii="Times New Roman" w:hAnsi="Times New Roman"/>
          <w:sz w:val="28"/>
          <w:szCs w:val="28"/>
        </w:rPr>
        <w:t xml:space="preserve"> настоящего Порядка.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от 2 ноября 2016 года № 89-З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11. Главные распорядители бюджетных средств перечисляют субсидии из областного бюджета в бюджет муниципального образования в установленном порядке на счет, открытый территориальному органу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bookmarkStart w:id="5" w:name="Par32"/>
      <w:bookmarkEnd w:id="5"/>
      <w:r>
        <w:rPr>
          <w:rFonts w:cs="Times New Roman" w:ascii="Times New Roman" w:hAnsi="Times New Roman"/>
          <w:sz w:val="28"/>
          <w:szCs w:val="28"/>
        </w:rPr>
        <w:t>13.1. Показателями результатов использования субсидии является количество мест или площадь введенных в эксплуатацию объектов культуры, туристского показа, процент строительной готовности объекта.</w:t>
      </w:r>
    </w:p>
    <w:p>
      <w:pPr>
        <w:pStyle w:val="Normal"/>
        <w:spacing w:lineRule="auto" w:line="240" w:before="0" w:after="0"/>
        <w:ind w:firstLine="540"/>
        <w:jc w:val="both"/>
        <w:rPr>
          <w:rFonts w:ascii="Times New Roman" w:hAnsi="Times New Roman" w:cs="Times New Roman"/>
          <w:sz w:val="28"/>
          <w:szCs w:val="28"/>
        </w:rPr>
      </w:pPr>
      <w:bookmarkStart w:id="6" w:name="Par33"/>
      <w:bookmarkEnd w:id="6"/>
      <w:r>
        <w:rPr>
          <w:rFonts w:cs="Times New Roman" w:ascii="Times New Roman" w:hAnsi="Times New Roman"/>
          <w:sz w:val="28"/>
          <w:szCs w:val="28"/>
        </w:rPr>
        <w:t>13.2. Оценка эффективности использования муниципальными образованиями субсидии осуществляется главными распорядителями бюджетных средств, исходя из достижения муниципальными образованиями значения показателя результата предоставления субсидии.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Критерием оценки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14. В случае если муниципальными образованиями по состоянию на 31 декабря соответствующего финансового года при предоставлении субсидии допущены нарушения обязательств, предусмотренных соглашением в соответствии с пунктами 13.1 и 13.2 настоящего Порядка, и в срок до первой даты представления отчетности о достижении значений показателей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Pr>
          <w:rFonts w:cs="Times New Roman" w:ascii="Times New Roman" w:hAnsi="Times New Roman"/>
          <w:sz w:val="28"/>
          <w:szCs w:val="28"/>
          <w:vertAlign w:val="subscript"/>
        </w:rPr>
        <w:t>возврата</w:t>
      </w:r>
      <w:r>
        <w:rPr>
          <w:rFonts w:cs="Times New Roman" w:ascii="Times New Roman" w:hAnsi="Times New Roman"/>
          <w:sz w:val="28"/>
          <w:szCs w:val="28"/>
        </w:rPr>
        <w:t>),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Vвозврата = (Vсубсидии x k x m / n) x 0,1, где: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Vсубсидии - размер субсидии, предоставленной бюджету муниципального образования в отчетном финансовом году;</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m - количество показателей результатов использования субсидии, по которым индекс, отражающий уровень недостижения i-го показателя результата использования субсидии, имеет положительное значение;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n - общее количество показателей результата использования субсидии;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k - коэффициент возврата субсидии.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(Vсубсидии),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Коэффициент возврата субсидии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lang w:val="en-US"/>
        </w:rPr>
      </w:pPr>
      <w:r>
        <w:rPr>
          <w:rFonts w:cs="Times New Roman" w:ascii="Times New Roman" w:hAnsi="Times New Roman"/>
          <w:sz w:val="28"/>
          <w:szCs w:val="28"/>
          <w:lang w:val="en-US"/>
        </w:rPr>
        <w:t xml:space="preserve">k = SUM Di / m, </w:t>
      </w:r>
      <w:r>
        <w:rPr>
          <w:rFonts w:cs="Times New Roman" w:ascii="Times New Roman" w:hAnsi="Times New Roman"/>
          <w:sz w:val="28"/>
          <w:szCs w:val="28"/>
        </w:rPr>
        <w:t>где</w:t>
      </w:r>
      <w:r>
        <w:rPr>
          <w:rFonts w:cs="Times New Roman" w:ascii="Times New Roman" w:hAnsi="Times New Roman"/>
          <w:sz w:val="28"/>
          <w:szCs w:val="28"/>
          <w:lang w:val="en-US"/>
        </w:rPr>
        <w:t>:</w:t>
      </w:r>
    </w:p>
    <w:p>
      <w:pPr>
        <w:pStyle w:val="Normal"/>
        <w:spacing w:lineRule="auto" w:line="240" w:before="0" w:after="0"/>
        <w:jc w:val="both"/>
        <w:rPr>
          <w:rFonts w:ascii="Times New Roman" w:hAnsi="Times New Roman" w:cs="Times New Roman"/>
          <w:sz w:val="28"/>
          <w:szCs w:val="28"/>
          <w:lang w:val="en-US"/>
        </w:rPr>
      </w:pPr>
      <w:r>
        <w:rPr>
          <w:rFonts w:cs="Times New Roman" w:ascii="Times New Roman" w:hAnsi="Times New Roman"/>
          <w:sz w:val="28"/>
          <w:szCs w:val="28"/>
          <w:lang w:val="en-US"/>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Di - индекс, отражающий уровень недостижения i-го показателя результата использования субсидии.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результата использования субсидии.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Индекс, отражающий уровень недостижения i-го показателя результата использования субсидии, определяется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Di = 1 - Ti / Si, где: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Ti - фактически достигнутое значение i-го показателя результата использования субсидии на отчетную дату;</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Si - плановое значение i-го показателя результата использования субсидии, установленное соглашением.</w:t>
      </w:r>
    </w:p>
    <w:p>
      <w:pPr>
        <w:pStyle w:val="Normal"/>
        <w:spacing w:lineRule="auto" w:line="240" w:before="0" w:after="0"/>
        <w:ind w:firstLine="540"/>
        <w:jc w:val="both"/>
        <w:rPr>
          <w:rFonts w:ascii="Times New Roman" w:hAnsi="Times New Roman" w:cs="Times New Roman"/>
          <w:sz w:val="28"/>
          <w:szCs w:val="28"/>
        </w:rPr>
      </w:pPr>
      <w:bookmarkStart w:id="7" w:name="Par56"/>
      <w:bookmarkEnd w:id="7"/>
      <w:r>
        <w:rPr>
          <w:rFonts w:cs="Times New Roman" w:ascii="Times New Roman" w:hAnsi="Times New Roman"/>
          <w:sz w:val="28"/>
          <w:szCs w:val="28"/>
        </w:rPr>
        <w:t>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(реконструкции)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случае одновременного нарушения муниципальным образованием обязательств, предусмотренных соглашением в соответствии с пунктами 13.1 настоящего Порядка и графиком выполнения мероприятий по капитальному строительству (реконструкции)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16. Освобождение муниципального образования от применения мер ответственности, предусмотренных пунктами 14, 15 настоящего Порядка, в том числе от возврата средств в доход областного бюджета, осуществляется в соответствии с пунктом 20 Правил.</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17. Органы местного самоуправления представляют главным распорядителям бюджетных средств документы, подтверждающие проводимые расходы в соответствии с заключенными соглашениями о предоставлении субсидии бюджету муниципального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18. Органы местного самоуправления муниципальных образований обеспечивают целевое и эффективное использование бюджетных средств. Главные распорядители бюджетных средств Брянской области осуществляют контроль за целевым использованием бюджетных средств. Департамент строительства Брянской области осуществляет контроль через ГКУ «Управление капитального строительства Брянской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15 настоящего Порядка, к нему применяются бюджетные меры принуждения, предусмотренные бюджетным законодательством Российской Федерации.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Методика</w:t>
      </w:r>
    </w:p>
    <w:p>
      <w:pPr>
        <w:pStyle w:val="Normal"/>
        <w:spacing w:lineRule="auto" w:line="240" w:before="0" w:after="0"/>
        <w:jc w:val="center"/>
        <w:rPr>
          <w:rFonts w:ascii="Times New Roman" w:hAnsi="Times New Roman" w:cs="Times New Roman"/>
          <w:spacing w:val="-10"/>
          <w:sz w:val="28"/>
          <w:szCs w:val="28"/>
        </w:rPr>
      </w:pPr>
      <w:r>
        <w:rPr>
          <w:rFonts w:cs="Times New Roman" w:ascii="Times New Roman" w:hAnsi="Times New Roman"/>
          <w:sz w:val="28"/>
          <w:szCs w:val="28"/>
        </w:rPr>
        <w:t>распределения субсидий бюджетам муниципальных образований на софинансирован</w:t>
      </w:r>
      <w:bookmarkStart w:id="8" w:name="_GoBack"/>
      <w:bookmarkEnd w:id="8"/>
      <w:r>
        <w:rPr>
          <w:rFonts w:cs="Times New Roman" w:ascii="Times New Roman" w:hAnsi="Times New Roman"/>
          <w:sz w:val="28"/>
          <w:szCs w:val="28"/>
        </w:rPr>
        <w:t>ие объектов капитальных вложений муниципальной собственности в рамках государственной программы «Развитие культуры и туризма в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Субсидии предоставляются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Субсидия распределяется между муниципальными образованиями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Ci = C x Vi / V,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Ci - размер субсидии бюджету i-го муниципального образования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C - общий объем субсидий, выделяемых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 - общий объем средств, определяемый департаментом строительства Брянской области, согласно представленным муниципальными образованиями заявкам 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 на соответствующий финансовый год;</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Vi - объем средств, необходимый i-му муниципальному образованию на софинансирование объектов капитальных вложений муниципальной собственности в рамках государственной программы «Развитие культуры и туризма в Брянской области»» на соответствующий финансовый год, согласно представленной заявке.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Arial" w:hAnsi="Arial" w:cs="Arial"/>
          <w:sz w:val="20"/>
          <w:szCs w:val="20"/>
        </w:rPr>
      </w:pPr>
      <w:r>
        <w:rPr/>
      </w:r>
    </w:p>
    <w:sectPr>
      <w:type w:val="nextPage"/>
      <w:pgSz w:w="11906" w:h="16838"/>
      <w:pgMar w:left="1701" w:right="851" w:header="0" w:top="1418" w:footer="0" w:bottom="1418"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3"/>
    <w:uiPriority w:val="99"/>
    <w:semiHidden/>
    <w:qFormat/>
    <w:rsid w:val="0011624f"/>
    <w:rPr>
      <w:rFonts w:ascii="Tahoma" w:hAnsi="Tahoma" w:cs="Tahoma"/>
      <w:sz w:val="16"/>
      <w:szCs w:val="16"/>
    </w:rPr>
  </w:style>
  <w:style w:type="character" w:styleId="ConsPlusNormal" w:customStyle="1">
    <w:name w:val="ConsPlusNormal Знак"/>
    <w:link w:val="ConsPlusNormal0"/>
    <w:qFormat/>
    <w:locked/>
    <w:rsid w:val="006b68eb"/>
    <w:rPr>
      <w:rFonts w:ascii="Arial" w:hAnsi="Arial" w:cs="Arial"/>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BalloonText">
    <w:name w:val="Balloon Text"/>
    <w:basedOn w:val="Normal"/>
    <w:link w:val="a4"/>
    <w:uiPriority w:val="99"/>
    <w:semiHidden/>
    <w:unhideWhenUsed/>
    <w:qFormat/>
    <w:rsid w:val="0011624f"/>
    <w:pPr>
      <w:spacing w:lineRule="auto" w:line="240" w:before="0" w:after="0"/>
    </w:pPr>
    <w:rPr>
      <w:rFonts w:ascii="Tahoma" w:hAnsi="Tahoma" w:cs="Tahoma"/>
      <w:sz w:val="16"/>
      <w:szCs w:val="16"/>
    </w:rPr>
  </w:style>
  <w:style w:type="paragraph" w:styleId="ConsPlusNormal1" w:customStyle="1">
    <w:name w:val="ConsPlusNormal"/>
    <w:link w:val="ConsPlusNormal"/>
    <w:qFormat/>
    <w:rsid w:val="006b68eb"/>
    <w:pPr>
      <w:widowControl w:val="false"/>
      <w:bidi w:val="0"/>
      <w:spacing w:lineRule="auto" w:line="240" w:before="0" w:after="0"/>
      <w:ind w:firstLine="720"/>
      <w:jc w:val="left"/>
    </w:pPr>
    <w:rPr>
      <w:rFonts w:ascii="Arial" w:hAnsi="Arial" w:cs="Arial" w:eastAsia="Calibri" w:eastAsiaTheme="minorHAnsi"/>
      <w:color w:val="auto"/>
      <w:kern w:val="0"/>
      <w:sz w:val="22"/>
      <w:szCs w:val="22"/>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LibreOffice/7.0.1.2$Windows_X86_64 LibreOffice_project/7cbcfc562f6eb6708b5ff7d7397325de9e764452</Application>
  <Pages>6</Pages>
  <Words>1572</Words>
  <Characters>12086</Characters>
  <CharactersWithSpaces>13711</CharactersWithSpaces>
  <Paragraphs>70</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2021-10-25T06:39:00Z</dcterms:created>
  <dc:creator>TehOtdel</dc:creator>
  <dc:description/>
  <dc:language>ru-RU</dc:language>
  <cp:lastModifiedBy>Users</cp:lastModifiedBy>
  <dcterms:modified xsi:type="dcterms:W3CDTF">2021-10-25T06:51:00Z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